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«Историческое образование»,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Обучение служением</w:t>
            </w:r>
          </w:p>
          <w:p>
            <w:pPr>
              <w:jc w:val="center"/>
              <w:spacing w:after="0" w:line="240" w:lineRule="auto"/>
              <w:rPr>
                <w:sz w:val="32"/>
                <w:szCs w:val="32"/>
              </w:rPr>
            </w:pPr>
            <w:r>
              <w:rPr>
                <w:rFonts w:ascii="Times New Roman" w:hAnsi="Times New Roman" w:cs="Times New Roman"/>
                <w:color w:val="#000000"/>
                <w:sz w:val="32"/>
                <w:szCs w:val="32"/>
              </w:rPr>
              <w:t> ФТД.06</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«Историческое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к.б.н., доцент _________________ /Кубрина Л.В./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«Историческое образование»;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«Обучение служением»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285.18"/>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ФТД.06 «Обучение служением».</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«Обучение служением»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эффективность использования стратегии сотрудничества для достижения поставленной цели, определять свою роль в команде</w:t>
            </w:r>
          </w:p>
        </w:tc>
      </w:tr>
      <w:tr>
        <w:trPr>
          <w:trHeight w:hRule="exact" w:val="585.060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особенности поведения разных групп людей, с которыми работает/взаимодействует, учитывать их в своей деятельности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устанавливать разные виды коммуникации (учебную, деловую, неформальную и др.)</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владеть способами оценки результатов (последствий) личных действий и планировать последовательность шагов для достижения заданного результата</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способами эффективно взаимодействовать с другими членами команды, в т.ч. участвовать в обмене информацией, знаниями и опытом, и презентации результатов работы команды</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ФТД.06 «Обучение служением»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61"/>
        </w:trPr>
        <w:tc>
          <w:tcPr>
            <w:tcW w:w="3970" w:type="dxa"/>
          </w:tcPr>
          <w:p/>
        </w:tc>
        <w:tc>
          <w:tcPr>
            <w:tcW w:w="4679" w:type="dxa"/>
          </w:tcPr>
          <w:p/>
        </w:tc>
        <w:tc>
          <w:tcPr>
            <w:tcW w:w="993" w:type="dxa"/>
          </w:tcPr>
          <w:p/>
        </w:tc>
      </w:tr>
      <w:tr>
        <w:trPr>
          <w:trHeight w:hRule="exact" w:val="277.8295"/>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Этика профессиональной деятельности педагога</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Организация добровольческой (волонтерской) деятельности и взаимодействие с социально ориентированными НКО</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w:t>
            </w:r>
          </w:p>
        </w:tc>
      </w:tr>
      <w:tr>
        <w:trPr>
          <w:trHeight w:hRule="exact" w:val="138.9143"/>
        </w:trPr>
        <w:tc>
          <w:tcPr>
            <w:tcW w:w="3970" w:type="dxa"/>
          </w:tcPr>
          <w:p/>
        </w:tc>
        <w:tc>
          <w:tcPr>
            <w:tcW w:w="4679" w:type="dxa"/>
          </w:tcPr>
          <w:p/>
        </w:tc>
        <w:tc>
          <w:tcPr>
            <w:tcW w:w="993" w:type="dxa"/>
          </w:tcPr>
          <w:p/>
        </w:tc>
      </w:tr>
      <w:tr>
        <w:trPr>
          <w:trHeight w:hRule="exact" w:val="988.2807"/>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314.58"/>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обучающихся</w:t>
            </w:r>
          </w:p>
        </w:tc>
      </w:tr>
      <w:tr>
        <w:trPr>
          <w:trHeight w:hRule="exact" w:val="585.0599"/>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6</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Добровольчество (волонтерство) и социально ориентированные НКО: определение и местоположение в обществе, законодательство, государственная политика, инфраструктура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Волонтерство как практика гражданского общества: исторические традиции, многообразие современных форм и направлений, масштабы участия россиян, зарубежный опыт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937.31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 ориентированные НКО в структуре российского гражданского общества: формы, количественные и качественные характеристики, связи с другими секторами (государство и рынок), добровольные объединения в истории России как предшественники современных НКО, формы добровольных объединений граждан зарубежом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Законодательное регулирование добровольчества (волонтерства) в России и НКО, включая социально ориентированные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Государственная политика в области содействия развитию институтов гражданского общества и формы государственной поддержки добровольчества (волонтерства) и СОНКО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937.31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Инфраструктура развития волонтерской деятельности и СОНКО: модели ресурсных центров, волонтерских центров, финансовая поддержка СОНКО и добровольчества (волонтерства) на муниципальном, региональном, федеральном уровне (субсидии, гранты Фонда президентских грантов)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Природа инициативных групп и СОНКО</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Организационные структуры НКО. Виды и уровни управления.Органы управления в СОНКО, особенности функционирования.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ресурсами, привлечение средств. Фандрайзинг, краудфандинг, участие в конкурсах субсидий и грантов. Взаимодействие с частными и корпоративными донорами.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Связи с общественностью. Популяризация деятельности. Прозрачность и доступность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Отчетность в НКО, аудит и налогообложение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Лидерство в НКО, роль руководителей в НКО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Дизайн-мышление как метод совместной деятельности с добровольцами (волонтерами) и представителями СОНКО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Межсекторное взаимодействие: цели и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Задачи и технологии взаимодействия сСОНКО, включая содействие укреплению их роли как поставщиков услуг в социальной сфере, организаторов волонтерской деятельности, внедрению инноваций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продвижения результатов совместной деятельности с СОНКО и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Мотивирование волонтеров и сотрудников СОНКО. Подходы к решению проблемы эмоционального и психологического выгорания.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рисками в работе с СОНКО и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и принятие управленческих решений в сфере взаимодействия с СОНКО и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взаимодействия с бизнес- организациями и корпоративными донорами.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Методы оценки эффективности деятельности СОНКО иволонтеров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проектов и эффективности деятельности СОНКО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эффективности волонтерской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Волонтерская деятельность в отдельных отраслях социальной сферы и направлениях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добровольчества (волонтерства) в здравоохранении и социальном обслуживании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добровольчества (волонтерства) в образовании и культуре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добровольчества (волонтерства) в сфере физической культуры и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добровольчества (волонтерства) в сфере охраны природы, предупреждения и ликвидации последствий чрезвычайных ситуаций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389.5509"/>
        </w:trPr>
        <w:tc>
          <w:tcPr>
            <w:tcW w:w="9654" w:type="dxa"/>
            <w:gridSpan w:val="4"/>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Волонтерство как практика гражданского общества: исторические традиции, многообразие современных форм и направлений, масштабы участия россиян, зарубежный опыт</w:t>
            </w:r>
          </w:p>
        </w:tc>
      </w:tr>
      <w:tr>
        <w:trPr>
          <w:trHeight w:hRule="exact" w:val="828.7861"/>
        </w:trPr>
        <w:tc>
          <w:tcPr>
            <w:tcW w:w="9654" w:type="dxa"/>
            <w:tcBorders>
</w:tcBorders>
            <w:vMerge/>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 ориентированные НКО в структуре российского гражданского общества: формы, количественные и качественные характеристики, связи с другими секторами (государство и рынок), добровольные объединения в истории России как предшественники современных НКО, формы добровольных объединений граждан зарубежом</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Организационные структуры НКО. Виды и уровни управления.Органы управления в СОНКО, особенности функционирования.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Задачи и технологии взаимодействия сСОНКО, включая содействие укреплению их роли как поставщиков услуг в социальной сфере, организаторов волонтерской деятельности, внедрению инноваций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Законодательное регулирование добровольчества (волонтерства) в России и НКО, включая социально ориентированные организации.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ресурсами, привлечение средств. Фандрайзинг, краудфандинг, участие в конкурсах субсидий и грантов. Взаимодействие с частными и корпоративными донорами.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Связи с общественностью. Популяризация деятельности. Прозрачность и доступность информации.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продвижения результатов совместной деятельности с СОНКО и волонтерами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«Обучение служением» / Кубрина Л.В..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Социально-культурное</w:t>
            </w:r>
            <w:r>
              <w:rPr/>
              <w:t xml:space="preserve"> </w:t>
            </w:r>
            <w:r>
              <w:rPr>
                <w:rFonts w:ascii="Times New Roman" w:hAnsi="Times New Roman" w:cs="Times New Roman"/>
                <w:color w:val="#000000"/>
                <w:sz w:val="24"/>
                <w:szCs w:val="24"/>
              </w:rPr>
              <w:t>творчество</w:t>
            </w:r>
            <w:r>
              <w:rPr/>
              <w:t xml:space="preserve"> </w:t>
            </w:r>
            <w:r>
              <w:rPr>
                <w:rFonts w:ascii="Times New Roman" w:hAnsi="Times New Roman" w:cs="Times New Roman"/>
                <w:color w:val="#000000"/>
                <w:sz w:val="24"/>
                <w:szCs w:val="24"/>
              </w:rPr>
              <w:t>участников</w:t>
            </w:r>
            <w:r>
              <w:rPr/>
              <w:t xml:space="preserve"> </w:t>
            </w:r>
            <w:r>
              <w:rPr>
                <w:rFonts w:ascii="Times New Roman" w:hAnsi="Times New Roman" w:cs="Times New Roman"/>
                <w:color w:val="#000000"/>
                <w:sz w:val="24"/>
                <w:szCs w:val="24"/>
              </w:rPr>
              <w:t>молодежных</w:t>
            </w:r>
            <w:r>
              <w:rPr/>
              <w:t xml:space="preserve"> </w:t>
            </w:r>
            <w:r>
              <w:rPr>
                <w:rFonts w:ascii="Times New Roman" w:hAnsi="Times New Roman" w:cs="Times New Roman"/>
                <w:color w:val="#000000"/>
                <w:sz w:val="24"/>
                <w:szCs w:val="24"/>
              </w:rPr>
              <w:t>объединений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формировании</w:t>
            </w:r>
            <w:r>
              <w:rPr/>
              <w:t xml:space="preserve"> </w:t>
            </w:r>
            <w:r>
              <w:rPr>
                <w:rFonts w:ascii="Times New Roman" w:hAnsi="Times New Roman" w:cs="Times New Roman"/>
                <w:color w:val="#000000"/>
                <w:sz w:val="24"/>
                <w:szCs w:val="24"/>
              </w:rPr>
              <w:t>института</w:t>
            </w:r>
            <w:r>
              <w:rPr/>
              <w:t xml:space="preserve"> </w:t>
            </w:r>
            <w:r>
              <w:rPr>
                <w:rFonts w:ascii="Times New Roman" w:hAnsi="Times New Roman" w:cs="Times New Roman"/>
                <w:color w:val="#000000"/>
                <w:sz w:val="24"/>
                <w:szCs w:val="24"/>
              </w:rPr>
              <w:t>волонтерства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Васильковская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Пономарёв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Кемерово:</w:t>
            </w:r>
            <w:r>
              <w:rPr/>
              <w:t xml:space="preserve"> </w:t>
            </w:r>
            <w:r>
              <w:rPr>
                <w:rFonts w:ascii="Times New Roman" w:hAnsi="Times New Roman" w:cs="Times New Roman"/>
                <w:color w:val="#000000"/>
                <w:sz w:val="24"/>
                <w:szCs w:val="24"/>
              </w:rPr>
              <w:t>Кемеровский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978-5-8154-0361-1.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http://www.iprbookshop.ru/66366.html</w:t>
            </w:r>
            <w:r>
              <w:rPr/>
              <w:t xml:space="preserve"> </w:t>
            </w:r>
          </w:p>
        </w:tc>
      </w:tr>
      <w:tr>
        <w:trPr>
          <w:trHeight w:hRule="exact" w:val="1096.47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волонтерской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Тимец</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978-5-00094-344-1.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http://www.iprbookshop.ru/68907.html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волонтерского</w:t>
            </w:r>
            <w:r>
              <w:rPr/>
              <w:t xml:space="preserve"> </w:t>
            </w:r>
            <w:r>
              <w:rPr>
                <w:rFonts w:ascii="Times New Roman" w:hAnsi="Times New Roman" w:cs="Times New Roman"/>
                <w:color w:val="#000000"/>
                <w:sz w:val="24"/>
                <w:szCs w:val="24"/>
              </w:rPr>
              <w:t>движения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Митрофаненко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http://www.iprbookshop.ru/63025.html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017.99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19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621.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579.1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268.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2024-2025_ФГОС3++2024_Бак-ОФО-ПО(ИО)(24)_plx_Обучение служением</dc:title>
  <dc:creator>FastReport.NET</dc:creator>
</cp:coreProperties>
</file>